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125" w:rsidRPr="003D2EDF" w:rsidRDefault="00282125" w:rsidP="00340818">
      <w:pPr>
        <w:shd w:val="clear" w:color="auto" w:fill="FFFFFF"/>
        <w:ind w:left="5103"/>
        <w:rPr>
          <w:color w:val="22272F"/>
          <w:sz w:val="28"/>
          <w:szCs w:val="28"/>
        </w:rPr>
      </w:pPr>
      <w:r w:rsidRPr="003D2EDF">
        <w:rPr>
          <w:color w:val="22272F"/>
          <w:sz w:val="28"/>
          <w:szCs w:val="28"/>
        </w:rPr>
        <w:t>Приложение</w:t>
      </w:r>
    </w:p>
    <w:p w:rsidR="00282125" w:rsidRPr="003D2EDF" w:rsidRDefault="00282125" w:rsidP="00340818">
      <w:pPr>
        <w:ind w:left="5103"/>
        <w:rPr>
          <w:sz w:val="28"/>
          <w:szCs w:val="28"/>
        </w:rPr>
      </w:pPr>
      <w:r w:rsidRPr="003D2EDF">
        <w:rPr>
          <w:color w:val="22272F"/>
          <w:sz w:val="28"/>
          <w:szCs w:val="28"/>
        </w:rPr>
        <w:t>к </w:t>
      </w:r>
      <w:r>
        <w:rPr>
          <w:color w:val="22272F"/>
          <w:sz w:val="28"/>
          <w:szCs w:val="28"/>
        </w:rPr>
        <w:t>И</w:t>
      </w:r>
      <w:r w:rsidRPr="003D2EDF">
        <w:rPr>
          <w:color w:val="22272F"/>
          <w:sz w:val="28"/>
          <w:szCs w:val="28"/>
        </w:rPr>
        <w:t xml:space="preserve">нформационному </w:t>
      </w:r>
      <w:hyperlink r:id="rId7" w:anchor="/document/75048486/entry/0" w:history="1">
        <w:r w:rsidRPr="003D2EDF">
          <w:rPr>
            <w:color w:val="22272F"/>
            <w:sz w:val="28"/>
            <w:szCs w:val="28"/>
          </w:rPr>
          <w:t>письму</w:t>
        </w:r>
      </w:hyperlink>
      <w:r w:rsidRPr="003D2EDF">
        <w:rPr>
          <w:color w:val="22272F"/>
          <w:sz w:val="28"/>
          <w:szCs w:val="28"/>
        </w:rPr>
        <w:t xml:space="preserve"> Банка России </w:t>
      </w:r>
      <w:r>
        <w:rPr>
          <w:sz w:val="28"/>
          <w:szCs w:val="28"/>
        </w:rPr>
        <w:t>о</w:t>
      </w:r>
      <w:r w:rsidRPr="003D2EDF">
        <w:rPr>
          <w:sz w:val="28"/>
          <w:szCs w:val="28"/>
        </w:rPr>
        <w:t xml:space="preserve"> неприменении мер </w:t>
      </w:r>
      <w:r w:rsidR="00340818">
        <w:rPr>
          <w:sz w:val="28"/>
          <w:szCs w:val="28"/>
        </w:rPr>
        <w:br/>
      </w:r>
      <w:r w:rsidRPr="003D2EDF">
        <w:rPr>
          <w:sz w:val="28"/>
          <w:szCs w:val="28"/>
        </w:rPr>
        <w:t>за непредставление сведений</w:t>
      </w:r>
    </w:p>
    <w:p w:rsidR="00282125" w:rsidRPr="003D2EDF" w:rsidRDefault="00282125" w:rsidP="00282125">
      <w:pPr>
        <w:shd w:val="clear" w:color="auto" w:fill="FFFFFF"/>
        <w:jc w:val="center"/>
        <w:rPr>
          <w:color w:val="22272F"/>
          <w:sz w:val="28"/>
          <w:szCs w:val="28"/>
        </w:rPr>
      </w:pPr>
    </w:p>
    <w:p w:rsidR="00282125" w:rsidRPr="003D2EDF" w:rsidRDefault="00282125" w:rsidP="00282125">
      <w:pPr>
        <w:shd w:val="clear" w:color="auto" w:fill="FFFFFF"/>
        <w:jc w:val="center"/>
        <w:rPr>
          <w:color w:val="22272F"/>
          <w:sz w:val="28"/>
          <w:szCs w:val="28"/>
        </w:rPr>
      </w:pPr>
    </w:p>
    <w:p w:rsidR="00282125" w:rsidRPr="003D2EDF" w:rsidRDefault="00282125" w:rsidP="00282125">
      <w:pPr>
        <w:shd w:val="clear" w:color="auto" w:fill="FFFFFF"/>
        <w:jc w:val="center"/>
        <w:rPr>
          <w:sz w:val="28"/>
          <w:szCs w:val="28"/>
        </w:rPr>
      </w:pPr>
      <w:r w:rsidRPr="003D2EDF">
        <w:rPr>
          <w:sz w:val="28"/>
          <w:szCs w:val="28"/>
        </w:rPr>
        <w:t>Перечень нормативных актов Банка России,</w:t>
      </w:r>
    </w:p>
    <w:p w:rsidR="00282125" w:rsidRPr="003D2EDF" w:rsidRDefault="00282125" w:rsidP="00282125">
      <w:pPr>
        <w:shd w:val="clear" w:color="auto" w:fill="FFFFFF"/>
        <w:jc w:val="center"/>
        <w:rPr>
          <w:sz w:val="28"/>
          <w:szCs w:val="28"/>
        </w:rPr>
      </w:pPr>
      <w:r w:rsidRPr="003D2EDF">
        <w:rPr>
          <w:sz w:val="28"/>
          <w:szCs w:val="28"/>
        </w:rPr>
        <w:t xml:space="preserve">устанавливающих обязанность по представлению участниками финансового рынка сведений об изменении адреса участника финансового рынка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>в пределах места нахождения</w:t>
      </w:r>
    </w:p>
    <w:p w:rsidR="00282125" w:rsidRPr="003D2EDF" w:rsidRDefault="00282125" w:rsidP="00282125">
      <w:pPr>
        <w:shd w:val="clear" w:color="auto" w:fill="FFFFFF"/>
        <w:jc w:val="center"/>
        <w:rPr>
          <w:sz w:val="28"/>
          <w:szCs w:val="28"/>
        </w:rPr>
      </w:pP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>Указание Банка России от 27.10.2014 № 3424-У «О порядке ведения государственного реестра саморегулируемых организаций актуариев».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>Указание Банка России от 04.12.2019 № 5342-У «О порядке ведения реестра операторов инвестиционных платформ».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Указание Банка России от 26.12.2019 № 5379-У «О регистрации Банком России организаций в качестве операторов платежных систем, включении иностранных организаций, являющихся операторами иностранных платежных систем, в реестр операторов иностранных платежных систем,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>о порядке ведения реестра операторов платежных систем и реестра операторов иностранных платежных систем».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>Указание Банка России от 24.09.2020 № 5561-У «О ведении Банком России единого реестра саморегулируемых организаций в сфере финансового рынка».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>Указание Банка России от 19.11.2020 № 5626-У «О ведении Банком России государственного реестра ломбардов».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Указание Банка России от 19.11.2020 № 5627-У «О ведении Банком России государственного реестра </w:t>
      </w:r>
      <w:proofErr w:type="spellStart"/>
      <w:r w:rsidRPr="003D2EDF">
        <w:rPr>
          <w:sz w:val="28"/>
          <w:szCs w:val="28"/>
        </w:rPr>
        <w:t>микрофинансовых</w:t>
      </w:r>
      <w:proofErr w:type="spellEnd"/>
      <w:r w:rsidRPr="003D2EDF">
        <w:rPr>
          <w:sz w:val="28"/>
          <w:szCs w:val="28"/>
        </w:rPr>
        <w:t xml:space="preserve"> организаций».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>Указание Банка России от 20.12.2021 № 6021-У «О ведении Банком России реестра аудиторских организаций, оказывающих аудиторские услуги общественно значимым организациям на финансовом рынке».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Указание Банка России от 29.06.2022 № 6176-У «О порядке включения Банком России организаций в реестр управляющих компаний </w:t>
      </w:r>
      <w:r w:rsidRPr="003D2EDF">
        <w:rPr>
          <w:sz w:val="28"/>
          <w:szCs w:val="28"/>
        </w:rPr>
        <w:lastRenderedPageBreak/>
        <w:t>специализированных обществ и порядке исключения Банком России организаций из указанного реестра».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Указание Банка России от 11.08.2023 № 6503-У «О ведении Банком России реестра участников эксперимента по установлению специального регулирования в целях создания необходимых условий для осуществления деятельности по партнерскому финансированию». 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Указание Банка России от 26.09.2024 № 6864-У «О ведении Банком России реестра операторов по приему платежей и об оценке Банком России соответствия лиц, указанных в части 1 статьи 3.2 Федерального закона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 xml:space="preserve">от 3 июня 2009 года № 103-ФЗ «О деятельности по приему платежей физических лиц, осуществляемой платежными агентами», квалификационным требованиям и требованиям к деловой репутации и лиц, указанных в части 3 статьи 3.3 Федерального закона от 3 июня 2009 года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>№ 103-ФЗ «О деятельности по приему платежей физических лиц, осуществляемой платежными агентами», требованиям, установленным частью 1 статьи 3.3 указанного Федерального закона, или требованию, установленному частью 1.1 статьи 3.3 указанного Федерального закона».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Указание Банка России от 07.11.2024 № 6934-У «О ведении Банком России государственного реестра кредитных потребительских кооперативов и порядке осуществления Банком России оценки соответствия лиц, указанных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 xml:space="preserve">в части 1 статьи 15.1 Федерального закона от 18 июля 2009 года № 190-ФЗ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>«О кредитной кооперации», квалификационным требованиям и (или) требованиям к деловой репутации».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>Указание Банка России от 25.06.2025 № 7102-У «О ведении Банком России реестра администраторов индикаторов».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Указание Банка России от 30.06.2025 № 7119-У «О формах, сроках и порядке составления и представления в Банк России отчетности профессиональных участников рынка ценных бумаг, об объеме, формах, сроках и порядке составления и представления в Банк России отчетов организаторов торговли и клиринговых организаций, а также о порядке </w:t>
      </w:r>
      <w:r w:rsidRPr="003D2EDF">
        <w:rPr>
          <w:sz w:val="28"/>
          <w:szCs w:val="28"/>
        </w:rPr>
        <w:lastRenderedPageBreak/>
        <w:t>сообщения профессиональными участниками рынка ценных бумаг Банку России информации о лицах, которым поручено проведение идентификации, упрощенной идентификации, обновление информации о клиентах, представителях клиентов, выгодоприобретателях и бенефициарных владельцах».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>Положение Банка России от 13.10.2014 № 435-П «Об аккредитации информационных агентств, которые проводят действия по раскрытию информации о ценных бумагах и об иных финансовых инструментах».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Положение Банка России от 12.09.2019 № 692-П «О требованиях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 xml:space="preserve">к представлению в Банк России заявления о внесении сведений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 xml:space="preserve">о хозяйственном обществе в реестр кредитных рейтинговых агентств, перечне документов, прилагаемых к указанному заявлению, порядке внесения Банком России филиала и представительства иностранного кредитного рейтингового агентства, осуществляющего в соответствии со своим личным законом рейтинговую деятельность, в реестр филиалов и представительств иностранных кредитных рейтинговых агентств, порядке ведения Банком России реестра кредитных рейтинговых агентств и составе включаемых в него сведений, порядке ведения Банком России реестра филиалов и представительств иностранных кредитных рейтинговых агентств и составе включаемых в него сведений, требованиях к порядку и форме представления кредитными рейтинговыми агентствами в Банк России уведомлений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>о назначении (избрании) на должность или об освобождении от должности (прекращении полномочий) должностных лиц (органов управления) кредитного рейтингового агентства, а также порядке доступа заинтересованных лиц к информации, содержащейся в реестре кредитных рейтинговых агентств».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before="100" w:beforeAutospacing="1" w:after="100" w:afterAutospacing="1"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Положение Банка России от 03.12.2020 № 742-П «О требованиях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 xml:space="preserve">по защите информации, которые должно выполнять юридическое лицо, намеревающееся получить статус оператора финансовой платформы,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 xml:space="preserve">о ведении Банком России реестра операторов финансовых платформ и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lastRenderedPageBreak/>
        <w:t>о требованиях к порядку регистрации Банком России изменений в правила финансовой платформы».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before="100" w:beforeAutospacing="1" w:after="100" w:afterAutospacing="1"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>Положение Банка России от 16.12.2020 № 746-П «О ведении Банком России реестра операторов информационных систем, в которых осуществляется выпуск цифровых финансовых активов, реестра операторов обмена цифровых финансовых активов, о порядке и сроках представления операторами информационных систем, в которых осуществляется выпуск цифровых финансовых активов, и операторами обмена цифровых финансовых активов в Банк России сведений о лицах, распоряжающихся акциями (долями) указанных операторов, а также о порядке представления и согласования Банком России изменений в правила информационной системы, в которой осуществляется выпуск цифровых финансовых активов, изменений в правила обмена цифровых финансовых активов».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before="100" w:beforeAutospacing="1" w:after="100" w:afterAutospacing="1"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Положение Банка России от 25.12.2020 № 748-П «О требованиях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>к финансовому положению и деловой репутации акционеров (участников) бюро кредитных историй и лиц, под контролем или значительным влиянием которых находятся акционеры (участники) бюро кредитных историй, ведении Банком России государственного реестра бюро кредитных историй».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before="100" w:beforeAutospacing="1" w:after="100" w:afterAutospacing="1"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 xml:space="preserve">Положение Банка России от 29.06.2022 № 798-П «О порядке лицензирования Банком России видов профессиональной деятельности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 xml:space="preserve">на рынке ценных бумаг, указанных в статьях 3-5, 7 и 8 Федерального закона от 22 апреля 1996 года № 39-ФЗ «О рынке ценных бумаг», и порядке ведения Банком России реестра профессиональных участников рынка ценных бумаг,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 xml:space="preserve">о порядке принятия Банком России решения о внесении (об отказе </w:t>
      </w:r>
      <w:r>
        <w:rPr>
          <w:sz w:val="28"/>
          <w:szCs w:val="28"/>
        </w:rPr>
        <w:br/>
      </w:r>
      <w:r w:rsidRPr="003D2EDF">
        <w:rPr>
          <w:sz w:val="28"/>
          <w:szCs w:val="28"/>
        </w:rPr>
        <w:t xml:space="preserve">во внесении) сведений о лице в единый реестр инвестиционных советников и порядке ведения Банком России указанного реестра, а также о порядке предоставления Банком России лицензии на осуществление деятельности инвестиционного фонда, лицензии управляющей компании на осуществление деятельности по управлению инвестиционными фондами, паевыми инвестиционными фондами и негосударственными пенсионными фондами, </w:t>
      </w:r>
      <w:r w:rsidRPr="003D2EDF">
        <w:rPr>
          <w:sz w:val="28"/>
          <w:szCs w:val="28"/>
        </w:rPr>
        <w:lastRenderedPageBreak/>
        <w:t>лицензии на осуществление деятельности специализированного депозитария инвестиционных фондов, паевых инвестиционных фондов и негосударственных пенсионных фондов и порядке ведения Банком России реестров указанных лицензий».</w:t>
      </w:r>
    </w:p>
    <w:p w:rsidR="00282125" w:rsidRPr="003D2EDF" w:rsidRDefault="00282125" w:rsidP="00282125">
      <w:pPr>
        <w:numPr>
          <w:ilvl w:val="0"/>
          <w:numId w:val="1"/>
        </w:numPr>
        <w:shd w:val="clear" w:color="auto" w:fill="FFFFFF"/>
        <w:tabs>
          <w:tab w:val="left" w:pos="1276"/>
        </w:tabs>
        <w:spacing w:before="100" w:beforeAutospacing="1" w:after="100" w:afterAutospacing="1" w:line="360" w:lineRule="auto"/>
        <w:ind w:left="0" w:firstLine="709"/>
        <w:jc w:val="both"/>
        <w:rPr>
          <w:sz w:val="28"/>
          <w:szCs w:val="28"/>
        </w:rPr>
      </w:pPr>
      <w:r w:rsidRPr="003D2EDF">
        <w:rPr>
          <w:sz w:val="28"/>
          <w:szCs w:val="28"/>
        </w:rPr>
        <w:t>Инструкция Банка России от 17.12.2018 № 194-И «О порядке и условиях проведения Банком России аккредитации организации, осуществляющей функции оператора товарных поставок, основаниях и порядке прекращения действия указанной аккредитации».</w:t>
      </w:r>
    </w:p>
    <w:p w:rsidR="00282125" w:rsidRPr="003D2EDF" w:rsidRDefault="00282125" w:rsidP="00282125">
      <w:pPr>
        <w:rPr>
          <w:sz w:val="28"/>
          <w:szCs w:val="28"/>
        </w:rPr>
      </w:pPr>
    </w:p>
    <w:p w:rsidR="00282125" w:rsidRPr="004A1E25" w:rsidRDefault="00282125" w:rsidP="00282125">
      <w:pPr>
        <w:jc w:val="both"/>
        <w:rPr>
          <w:sz w:val="28"/>
          <w:szCs w:val="28"/>
        </w:rPr>
      </w:pPr>
    </w:p>
    <w:p w:rsidR="000D16F6" w:rsidRDefault="000D16F6"/>
    <w:sectPr w:rsidR="000D16F6" w:rsidSect="00340818">
      <w:headerReference w:type="default" r:id="rId8"/>
      <w:headerReference w:type="first" r:id="rId9"/>
      <w:pgSz w:w="11906" w:h="16838" w:code="9"/>
      <w:pgMar w:top="1134" w:right="851" w:bottom="1134" w:left="170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716" w:rsidRDefault="00102716" w:rsidP="00282125">
      <w:r>
        <w:separator/>
      </w:r>
    </w:p>
  </w:endnote>
  <w:endnote w:type="continuationSeparator" w:id="0">
    <w:p w:rsidR="00102716" w:rsidRDefault="00102716" w:rsidP="0028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716" w:rsidRDefault="00102716" w:rsidP="00282125">
      <w:r>
        <w:separator/>
      </w:r>
    </w:p>
  </w:footnote>
  <w:footnote w:type="continuationSeparator" w:id="0">
    <w:p w:rsidR="00102716" w:rsidRDefault="00102716" w:rsidP="00282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339492"/>
      <w:docPartObj>
        <w:docPartGallery w:val="Page Numbers (Top of Page)"/>
        <w:docPartUnique/>
      </w:docPartObj>
    </w:sdtPr>
    <w:sdtEndPr/>
    <w:sdtContent>
      <w:p w:rsidR="00282125" w:rsidRDefault="0028212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818" w:rsidRPr="00340818">
          <w:rPr>
            <w:noProof/>
            <w:lang w:val="ru-RU"/>
          </w:rPr>
          <w:t>7</w:t>
        </w:r>
        <w:r>
          <w:fldChar w:fldCharType="end"/>
        </w:r>
      </w:p>
    </w:sdtContent>
  </w:sdt>
  <w:p w:rsidR="00282125" w:rsidRDefault="002821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35B" w:rsidRDefault="00102716">
    <w:pPr>
      <w:pStyle w:val="a3"/>
      <w:jc w:val="center"/>
    </w:pPr>
    <w:bookmarkStart w:id="0" w:name="_GoBack"/>
  </w:p>
  <w:bookmarkEnd w:id="0"/>
  <w:p w:rsidR="0010135B" w:rsidRPr="00DD7631" w:rsidRDefault="00102716" w:rsidP="00DD7631">
    <w:pPr>
      <w:ind w:firstLine="552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009AB"/>
    <w:multiLevelType w:val="hybridMultilevel"/>
    <w:tmpl w:val="726C34D2"/>
    <w:lvl w:ilvl="0" w:tplc="BDD66A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0D"/>
    <w:rsid w:val="000D16F6"/>
    <w:rsid w:val="00102716"/>
    <w:rsid w:val="0023520D"/>
    <w:rsid w:val="00253688"/>
    <w:rsid w:val="00282125"/>
    <w:rsid w:val="0034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E0C5A-7F2A-4C64-A41F-DCDA3E78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125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21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82125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2821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12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2821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212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9">
    <w:name w:val="Revision"/>
    <w:hidden/>
    <w:uiPriority w:val="99"/>
    <w:semiHidden/>
    <w:rsid w:val="0034081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cagarant.vip.c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1171</Words>
  <Characters>6678</Characters>
  <Application>Microsoft Office Word</Application>
  <DocSecurity>0</DocSecurity>
  <Lines>55</Lines>
  <Paragraphs>15</Paragraphs>
  <ScaleCrop>false</ScaleCrop>
  <Company/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Перелетова Маргарита Александровна</dc:creator>
  <cp:keywords/>
  <dc:description/>
  <cp:lastModifiedBy>Дуваа Виктория Анатольевна</cp:lastModifiedBy>
  <cp:revision>3</cp:revision>
  <dcterms:created xsi:type="dcterms:W3CDTF">2026-08-17T14:04:00Z</dcterms:created>
  <dcterms:modified xsi:type="dcterms:W3CDTF">2026-08-17T15:15:00Z</dcterms:modified>
</cp:coreProperties>
</file>